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E7F3" w14:textId="710A8DE2" w:rsidR="00600AF7" w:rsidRPr="00BD3811" w:rsidRDefault="00600AF7" w:rsidP="00BD3811">
      <w:pPr>
        <w:spacing w:after="0"/>
        <w:jc w:val="center"/>
        <w:rPr>
          <w:rFonts w:ascii="Century Gothic" w:hAnsi="Century Gothic" w:cs="Tahoma"/>
          <w:b/>
          <w:bCs/>
          <w:sz w:val="28"/>
        </w:rPr>
      </w:pPr>
      <w:r w:rsidRPr="00BD3811">
        <w:rPr>
          <w:rFonts w:ascii="Century Gothic" w:hAnsi="Century Gothic" w:cs="Tahoma"/>
          <w:b/>
          <w:bCs/>
          <w:sz w:val="28"/>
        </w:rPr>
        <w:t xml:space="preserve">CIRCULAR </w:t>
      </w:r>
      <w:r w:rsidR="002C7ED5" w:rsidRPr="00BD3811">
        <w:rPr>
          <w:rFonts w:ascii="Century Gothic" w:hAnsi="Century Gothic" w:cs="Tahoma"/>
          <w:b/>
          <w:bCs/>
          <w:sz w:val="28"/>
        </w:rPr>
        <w:t xml:space="preserve">Núm. </w:t>
      </w:r>
      <w:r w:rsidR="006879D4">
        <w:rPr>
          <w:rFonts w:ascii="Century Gothic" w:hAnsi="Century Gothic" w:cs="Tahoma"/>
          <w:b/>
          <w:bCs/>
          <w:sz w:val="28"/>
        </w:rPr>
        <w:t>031</w:t>
      </w:r>
      <w:r w:rsidR="00205512" w:rsidRPr="00BD3811">
        <w:rPr>
          <w:rFonts w:ascii="Century Gothic" w:hAnsi="Century Gothic" w:cs="Tahoma"/>
          <w:b/>
          <w:bCs/>
          <w:sz w:val="28"/>
        </w:rPr>
        <w:t>/CJCAM/SEJEC/18-2019</w:t>
      </w:r>
    </w:p>
    <w:p w14:paraId="12241053" w14:textId="77777777" w:rsidR="00541803" w:rsidRPr="00BD3811" w:rsidRDefault="00541803" w:rsidP="00BD3811">
      <w:pPr>
        <w:tabs>
          <w:tab w:val="left" w:pos="851"/>
          <w:tab w:val="left" w:leader="dot" w:pos="7655"/>
        </w:tabs>
        <w:spacing w:after="0"/>
        <w:ind w:right="283"/>
        <w:rPr>
          <w:rFonts w:ascii="Century Gothic" w:hAnsi="Century Gothic" w:cs="Arial"/>
          <w:b/>
          <w:sz w:val="18"/>
          <w:szCs w:val="18"/>
          <w:lang w:val="es-MX" w:eastAsia="es-ES"/>
        </w:rPr>
      </w:pPr>
    </w:p>
    <w:p w14:paraId="0C92F8BA" w14:textId="77777777" w:rsidR="00541803" w:rsidRPr="00BD3811" w:rsidRDefault="00541803" w:rsidP="00BD3811">
      <w:pPr>
        <w:tabs>
          <w:tab w:val="left" w:pos="851"/>
          <w:tab w:val="left" w:leader="dot" w:pos="7655"/>
        </w:tabs>
        <w:spacing w:after="0"/>
        <w:ind w:left="5529" w:right="283"/>
        <w:jc w:val="right"/>
        <w:rPr>
          <w:rFonts w:ascii="Century Gothic" w:hAnsi="Century Gothic" w:cs="Arial"/>
          <w:b/>
          <w:sz w:val="18"/>
          <w:szCs w:val="18"/>
          <w:lang w:val="es-MX" w:eastAsia="es-ES"/>
        </w:rPr>
      </w:pPr>
    </w:p>
    <w:p w14:paraId="7D5CB05D" w14:textId="77777777" w:rsidR="00600AF7" w:rsidRPr="00BD3811" w:rsidRDefault="00600AF7" w:rsidP="00BD3811">
      <w:pPr>
        <w:tabs>
          <w:tab w:val="left" w:pos="851"/>
          <w:tab w:val="left" w:leader="dot" w:pos="7655"/>
        </w:tabs>
        <w:spacing w:after="0"/>
        <w:ind w:left="5529" w:right="283"/>
        <w:jc w:val="right"/>
        <w:rPr>
          <w:rFonts w:ascii="Century Gothic" w:hAnsi="Century Gothic" w:cs="Arial"/>
          <w:b/>
          <w:szCs w:val="18"/>
          <w:lang w:val="es-MX" w:eastAsia="es-ES"/>
        </w:rPr>
      </w:pPr>
      <w:r w:rsidRPr="00BD3811">
        <w:rPr>
          <w:rFonts w:ascii="Century Gothic" w:hAnsi="Century Gothic" w:cs="Arial"/>
          <w:b/>
          <w:szCs w:val="18"/>
          <w:lang w:val="es-MX" w:eastAsia="es-ES"/>
        </w:rPr>
        <w:t>Asunto:</w:t>
      </w:r>
      <w:r w:rsidR="004416BE" w:rsidRPr="00BD3811">
        <w:rPr>
          <w:rFonts w:ascii="Century Gothic" w:hAnsi="Century Gothic" w:cs="Arial"/>
          <w:b/>
          <w:szCs w:val="18"/>
          <w:lang w:val="es-MX" w:eastAsia="es-ES"/>
        </w:rPr>
        <w:t xml:space="preserve"> </w:t>
      </w:r>
      <w:r w:rsidR="005E12AD" w:rsidRPr="00BD3811">
        <w:rPr>
          <w:rFonts w:ascii="Century Gothic" w:hAnsi="Century Gothic" w:cs="Arial"/>
          <w:szCs w:val="18"/>
          <w:lang w:val="es-MX" w:eastAsia="es-ES"/>
        </w:rPr>
        <w:t xml:space="preserve">Se </w:t>
      </w:r>
      <w:r w:rsidR="00087C69" w:rsidRPr="00BD3811">
        <w:rPr>
          <w:rFonts w:ascii="Century Gothic" w:hAnsi="Century Gothic" w:cs="Arial"/>
          <w:szCs w:val="18"/>
          <w:lang w:val="es-MX" w:eastAsia="es-ES"/>
        </w:rPr>
        <w:t xml:space="preserve">informa </w:t>
      </w:r>
      <w:r w:rsidR="004E4068" w:rsidRPr="00BD3811">
        <w:rPr>
          <w:rFonts w:ascii="Century Gothic" w:hAnsi="Century Gothic" w:cs="Arial"/>
          <w:szCs w:val="18"/>
          <w:lang w:val="es-MX" w:eastAsia="es-ES"/>
        </w:rPr>
        <w:t>Acuerdo</w:t>
      </w:r>
      <w:r w:rsidR="00705D91" w:rsidRPr="00BD3811">
        <w:rPr>
          <w:rFonts w:ascii="Century Gothic" w:hAnsi="Century Gothic" w:cs="Arial"/>
          <w:szCs w:val="18"/>
          <w:lang w:val="es-MX" w:eastAsia="es-ES"/>
        </w:rPr>
        <w:t xml:space="preserve"> General</w:t>
      </w:r>
      <w:r w:rsidR="00087C69" w:rsidRPr="00BD3811">
        <w:rPr>
          <w:rFonts w:ascii="Century Gothic" w:hAnsi="Century Gothic" w:cs="Arial"/>
          <w:szCs w:val="18"/>
          <w:lang w:val="es-MX" w:eastAsia="es-ES"/>
        </w:rPr>
        <w:t>.</w:t>
      </w:r>
    </w:p>
    <w:p w14:paraId="1D5A139C" w14:textId="77777777" w:rsidR="00541803" w:rsidRPr="00BD3811" w:rsidRDefault="00541803" w:rsidP="00BD3811">
      <w:pPr>
        <w:widowControl w:val="0"/>
        <w:tabs>
          <w:tab w:val="left" w:pos="540"/>
          <w:tab w:val="left" w:pos="567"/>
          <w:tab w:val="left" w:leader="dot" w:pos="7655"/>
        </w:tabs>
        <w:autoSpaceDE w:val="0"/>
        <w:autoSpaceDN w:val="0"/>
        <w:spacing w:after="0"/>
        <w:ind w:right="283"/>
        <w:jc w:val="both"/>
        <w:rPr>
          <w:rFonts w:ascii="Century Gothic" w:hAnsi="Century Gothic" w:cs="Arial"/>
          <w:b/>
          <w:lang w:val="es-MX" w:eastAsia="es-ES"/>
        </w:rPr>
      </w:pPr>
    </w:p>
    <w:p w14:paraId="23AF111B" w14:textId="77777777" w:rsidR="00794C0B" w:rsidRPr="00BD3811" w:rsidRDefault="00794C0B" w:rsidP="00BD3811">
      <w:pPr>
        <w:widowControl w:val="0"/>
        <w:tabs>
          <w:tab w:val="left" w:pos="540"/>
          <w:tab w:val="left" w:pos="567"/>
          <w:tab w:val="left" w:leader="dot" w:pos="7655"/>
        </w:tabs>
        <w:autoSpaceDE w:val="0"/>
        <w:autoSpaceDN w:val="0"/>
        <w:spacing w:after="0"/>
        <w:ind w:left="-426" w:right="283"/>
        <w:jc w:val="both"/>
        <w:rPr>
          <w:rFonts w:ascii="Century Gothic" w:hAnsi="Century Gothic" w:cs="Arial"/>
          <w:b/>
          <w:lang w:val="es-MX" w:eastAsia="es-ES"/>
        </w:rPr>
      </w:pPr>
      <w:r w:rsidRPr="00BD3811">
        <w:rPr>
          <w:rFonts w:ascii="Century Gothic" w:hAnsi="Century Gothic"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0E2FEC96" w14:textId="77777777" w:rsidR="00794C0B" w:rsidRPr="00BD3811" w:rsidRDefault="00794C0B" w:rsidP="00BD3811">
      <w:pPr>
        <w:widowControl w:val="0"/>
        <w:tabs>
          <w:tab w:val="left" w:pos="851"/>
          <w:tab w:val="left" w:pos="1418"/>
        </w:tabs>
        <w:spacing w:after="0"/>
        <w:ind w:left="-426" w:right="283"/>
        <w:jc w:val="both"/>
        <w:rPr>
          <w:rFonts w:ascii="Century Gothic" w:hAnsi="Century Gothic" w:cs="Tahoma"/>
          <w:b/>
          <w:bCs/>
          <w:lang w:val="es-MX"/>
        </w:rPr>
      </w:pPr>
    </w:p>
    <w:p w14:paraId="5F93FDAC" w14:textId="726B4676" w:rsidR="0005317C" w:rsidRPr="006879D4" w:rsidRDefault="00205512" w:rsidP="00BD3811">
      <w:pPr>
        <w:spacing w:after="0"/>
        <w:ind w:left="-426" w:right="284"/>
        <w:jc w:val="both"/>
        <w:rPr>
          <w:rStyle w:val="Ninguno"/>
          <w:rFonts w:ascii="Century Gothic" w:eastAsia="Calibri" w:hAnsi="Century Gothic" w:cs="Arial"/>
          <w:bCs/>
        </w:rPr>
      </w:pPr>
      <w:r w:rsidRPr="006879D4">
        <w:rPr>
          <w:rFonts w:ascii="Century Gothic" w:eastAsia="Calibri" w:hAnsi="Century Gothic" w:cs="Arial"/>
          <w:bCs/>
          <w:lang w:val="es-MX"/>
        </w:rPr>
        <w:t xml:space="preserve">De conformidad con lo que establece el artículo 156, fracciones IX y XV de la Ley Orgánica del Poder Judicial del Estado, me permito hacer de su conocimiento que en Sesión Ordinaria de fecha </w:t>
      </w:r>
      <w:r w:rsidR="00550A72" w:rsidRPr="006879D4">
        <w:rPr>
          <w:rFonts w:ascii="Century Gothic" w:eastAsia="Calibri" w:hAnsi="Century Gothic" w:cs="Arial"/>
          <w:bCs/>
          <w:lang w:val="es-MX"/>
        </w:rPr>
        <w:t>2</w:t>
      </w:r>
      <w:r w:rsidR="00E743C2" w:rsidRPr="006879D4">
        <w:rPr>
          <w:rFonts w:ascii="Century Gothic" w:eastAsia="Calibri" w:hAnsi="Century Gothic" w:cs="Arial"/>
          <w:bCs/>
          <w:lang w:val="es-MX"/>
        </w:rPr>
        <w:t>1</w:t>
      </w:r>
      <w:r w:rsidRPr="006879D4">
        <w:rPr>
          <w:rFonts w:ascii="Century Gothic" w:eastAsia="Calibri" w:hAnsi="Century Gothic" w:cs="Arial"/>
          <w:bCs/>
          <w:lang w:val="es-MX"/>
        </w:rPr>
        <w:t xml:space="preserve"> de </w:t>
      </w:r>
      <w:r w:rsidR="002C77F2" w:rsidRPr="006879D4">
        <w:rPr>
          <w:rFonts w:ascii="Century Gothic" w:eastAsia="Calibri" w:hAnsi="Century Gothic" w:cs="Arial"/>
          <w:bCs/>
          <w:lang w:val="es-MX"/>
        </w:rPr>
        <w:t>noviembre</w:t>
      </w:r>
      <w:r w:rsidRPr="006879D4">
        <w:rPr>
          <w:rFonts w:ascii="Century Gothic" w:eastAsia="Calibri" w:hAnsi="Century Gothic" w:cs="Arial"/>
          <w:bCs/>
          <w:lang w:val="es-MX"/>
        </w:rPr>
        <w:t xml:space="preserve"> de 2018, el Pleno del Consejo de la Judicatura Local,  aprobó el siguiente Acuerdo</w:t>
      </w:r>
      <w:r w:rsidRPr="006879D4">
        <w:rPr>
          <w:rFonts w:ascii="Century Gothic" w:eastAsia="Calibri" w:hAnsi="Century Gothic" w:cs="Arial"/>
          <w:bCs/>
        </w:rPr>
        <w:t>:----------------------------------------------------</w:t>
      </w:r>
      <w:r w:rsidR="00BD3811" w:rsidRPr="006879D4">
        <w:rPr>
          <w:rFonts w:ascii="Century Gothic" w:eastAsia="Calibri" w:hAnsi="Century Gothic" w:cs="Arial"/>
          <w:bCs/>
        </w:rPr>
        <w:t>----</w:t>
      </w:r>
      <w:r w:rsidR="006879D4">
        <w:rPr>
          <w:rFonts w:ascii="Century Gothic" w:eastAsia="Calibri" w:hAnsi="Century Gothic" w:cs="Arial"/>
          <w:bCs/>
        </w:rPr>
        <w:t>--------------------------------------------------------</w:t>
      </w:r>
    </w:p>
    <w:p w14:paraId="4B779EC1" w14:textId="77777777" w:rsidR="00E743C2" w:rsidRPr="00BD3811" w:rsidRDefault="00E743C2" w:rsidP="006879D4">
      <w:pPr>
        <w:pStyle w:val="Cuerpo"/>
        <w:widowControl w:val="0"/>
        <w:spacing w:line="276" w:lineRule="auto"/>
        <w:ind w:left="284" w:right="850"/>
        <w:jc w:val="both"/>
        <w:rPr>
          <w:rStyle w:val="Ninguno"/>
          <w:rFonts w:ascii="Century Gothic" w:hAnsi="Century Gothic"/>
          <w:b/>
          <w:bCs/>
          <w:sz w:val="22"/>
          <w:szCs w:val="22"/>
        </w:rPr>
      </w:pPr>
    </w:p>
    <w:p w14:paraId="0F4F8192" w14:textId="02FC6A21" w:rsidR="004D16F9" w:rsidRPr="00666D06" w:rsidRDefault="00E743C2" w:rsidP="006879D4">
      <w:pPr>
        <w:spacing w:after="0"/>
        <w:ind w:left="-142" w:right="566"/>
        <w:jc w:val="both"/>
        <w:rPr>
          <w:rFonts w:ascii="Century Gothic" w:hAnsi="Century Gothic" w:cs="Arial"/>
          <w:b/>
          <w:lang w:eastAsia="es-ES"/>
        </w:rPr>
      </w:pPr>
      <w:r w:rsidRPr="00666D06">
        <w:rPr>
          <w:rStyle w:val="Ninguno"/>
          <w:rFonts w:ascii="Century Gothic" w:hAnsi="Century Gothic"/>
          <w:b/>
          <w:bCs/>
        </w:rPr>
        <w:t>“…</w:t>
      </w:r>
      <w:r w:rsidR="004D16F9" w:rsidRPr="00666D06">
        <w:rPr>
          <w:rFonts w:ascii="Century Gothic" w:hAnsi="Century Gothic" w:cs="Arial"/>
          <w:b/>
          <w:lang w:eastAsia="es-ES"/>
        </w:rPr>
        <w:t>ACUERDO GENERAL NÚMERO 03/CJCAM/18-2019, DEL CONSEJO DE LA JUDICATURA DEL PODER JUDICIAL DEL ESTADO, QUE REGULA LA OBLIGATORIEDAD DE LA RECOPILACIÓN DE LA INFO</w:t>
      </w:r>
      <w:r w:rsidR="004D16F9" w:rsidRPr="00666D06">
        <w:rPr>
          <w:rFonts w:ascii="Century Gothic" w:hAnsi="Century Gothic" w:cs="Arial"/>
          <w:b/>
          <w:sz w:val="20"/>
          <w:lang w:eastAsia="es-ES"/>
        </w:rPr>
        <w:t>R</w:t>
      </w:r>
      <w:r w:rsidR="004D16F9" w:rsidRPr="00666D06">
        <w:rPr>
          <w:rFonts w:ascii="Century Gothic" w:hAnsi="Century Gothic" w:cs="Arial"/>
          <w:b/>
          <w:lang w:eastAsia="es-ES"/>
        </w:rPr>
        <w:t>MACIÓN ESTADISTICA RELACIONADA CON EL EJERCICIO DE LAS FUNCIONES DE IMPARTICIÓN DE JUSTICIA, ESPECIFICAMENTE REFERIDA A LOS EXPEDIENTES Y ASUNTOS EN MATERIA PENAL, VINCULADO AL CENSO NACIONAL DE IMPARTICIÓN DE JUSTICIA ESTATAL (CNIJE). - - - - - - - - - - - - - - - - - - - - - - - - - - - - - - - - - - -</w:t>
      </w:r>
      <w:r w:rsidR="00666D06">
        <w:rPr>
          <w:rFonts w:ascii="Century Gothic" w:hAnsi="Century Gothic" w:cs="Arial"/>
          <w:b/>
          <w:lang w:eastAsia="es-ES"/>
        </w:rPr>
        <w:t xml:space="preserve"> </w:t>
      </w:r>
      <w:r w:rsidR="00666D06" w:rsidRPr="00666D06">
        <w:rPr>
          <w:rFonts w:ascii="Century Gothic" w:hAnsi="Century Gothic" w:cs="Arial"/>
          <w:b/>
          <w:lang w:eastAsia="es-ES"/>
        </w:rPr>
        <w:t>- - - - - - - - - - - - - - - - - - - - - -</w:t>
      </w:r>
      <w:r w:rsidR="004D16F9" w:rsidRPr="00666D06">
        <w:rPr>
          <w:rFonts w:ascii="Century Gothic" w:hAnsi="Century Gothic" w:cs="Arial"/>
          <w:b/>
          <w:lang w:eastAsia="es-ES"/>
        </w:rPr>
        <w:t xml:space="preserve"> </w:t>
      </w:r>
    </w:p>
    <w:p w14:paraId="782A87EA" w14:textId="77777777" w:rsidR="004D16F9" w:rsidRPr="00666D06" w:rsidRDefault="004D16F9" w:rsidP="006879D4">
      <w:pPr>
        <w:spacing w:after="0"/>
        <w:ind w:left="-142" w:right="566"/>
        <w:jc w:val="both"/>
        <w:rPr>
          <w:rFonts w:ascii="Century Gothic" w:hAnsi="Century Gothic" w:cs="Arial"/>
          <w:b/>
          <w:bCs/>
          <w:sz w:val="12"/>
          <w:lang w:eastAsia="es-ES"/>
        </w:rPr>
      </w:pPr>
    </w:p>
    <w:p w14:paraId="12AD1FF6" w14:textId="288033AE" w:rsidR="004D16F9" w:rsidRPr="00666D06" w:rsidRDefault="004D16F9" w:rsidP="006879D4">
      <w:pPr>
        <w:spacing w:after="0"/>
        <w:ind w:left="-142" w:right="566"/>
        <w:jc w:val="both"/>
        <w:rPr>
          <w:rFonts w:ascii="Century Gothic" w:hAnsi="Century Gothic" w:cs="Arial"/>
          <w:bCs/>
          <w:lang w:eastAsia="es-ES"/>
        </w:rPr>
      </w:pPr>
      <w:r w:rsidRPr="00666D06">
        <w:rPr>
          <w:rFonts w:ascii="Century Gothic" w:hAnsi="Century Gothic" w:cs="Arial"/>
          <w:b/>
          <w:bCs/>
          <w:lang w:eastAsia="es-ES"/>
        </w:rPr>
        <w:t xml:space="preserve">Artículo 1. </w:t>
      </w:r>
      <w:r w:rsidRPr="00666D06">
        <w:rPr>
          <w:rFonts w:ascii="Century Gothic" w:hAnsi="Century Gothic" w:cs="Arial"/>
          <w:bCs/>
          <w:lang w:eastAsia="es-ES"/>
        </w:rPr>
        <w:t xml:space="preserve">El Juez, por cuenta propia, o a través del Secretario de Acuerdos, Secretario Auxiliar, Auxiliar Judicial o del servidor judicial oportunamente designado, recabará y realizará el registro de la información requerida por el Censo Nacional de Impartición de Justicia Estatal (CNIJE), en la aplicación informática que para tal efecto se instale en el equipo de cómputo designado, con la información relativa a la o las Causas Penales, Delitos, Procesados, Víctimas, Conclusiones y Trámites, según los registros de los expedientes generados.- - - - - - - - - -  - - - - - - - - - - - - - - - - - </w:t>
      </w:r>
      <w:r w:rsidR="00666D06" w:rsidRPr="00666D06">
        <w:rPr>
          <w:rFonts w:ascii="Century Gothic" w:hAnsi="Century Gothic" w:cs="Arial"/>
          <w:b/>
          <w:lang w:eastAsia="es-ES"/>
        </w:rPr>
        <w:t>- - - - - - - - - - - - - - - - - - - - - -</w:t>
      </w:r>
    </w:p>
    <w:p w14:paraId="16AFCEE7" w14:textId="77777777" w:rsidR="004D16F9" w:rsidRPr="00666D06" w:rsidRDefault="004D16F9" w:rsidP="006879D4">
      <w:pPr>
        <w:spacing w:after="0"/>
        <w:ind w:left="-142" w:right="566"/>
        <w:jc w:val="both"/>
        <w:rPr>
          <w:rFonts w:ascii="Century Gothic" w:hAnsi="Century Gothic" w:cs="Arial"/>
          <w:b/>
          <w:sz w:val="12"/>
          <w:lang w:eastAsia="es-ES"/>
        </w:rPr>
      </w:pPr>
      <w:r w:rsidRPr="00666D06">
        <w:rPr>
          <w:rFonts w:ascii="Century Gothic" w:hAnsi="Century Gothic" w:cs="Arial"/>
          <w:b/>
          <w:lang w:eastAsia="es-ES"/>
        </w:rPr>
        <w:t xml:space="preserve"> </w:t>
      </w:r>
    </w:p>
    <w:p w14:paraId="71A11FAC" w14:textId="594B5CD3" w:rsidR="004D16F9" w:rsidRPr="00666D06" w:rsidRDefault="004D16F9" w:rsidP="006879D4">
      <w:pPr>
        <w:spacing w:after="0"/>
        <w:ind w:left="-142" w:right="566"/>
        <w:jc w:val="both"/>
        <w:rPr>
          <w:rFonts w:ascii="Century Gothic" w:hAnsi="Century Gothic" w:cs="Arial"/>
          <w:lang w:eastAsia="es-ES"/>
        </w:rPr>
      </w:pPr>
      <w:r w:rsidRPr="00666D06">
        <w:rPr>
          <w:rFonts w:ascii="Century Gothic" w:hAnsi="Century Gothic" w:cs="Arial"/>
          <w:b/>
          <w:lang w:eastAsia="es-ES"/>
        </w:rPr>
        <w:t xml:space="preserve">Artículo 2. </w:t>
      </w:r>
      <w:r w:rsidRPr="00666D06">
        <w:rPr>
          <w:rFonts w:ascii="Century Gothic" w:hAnsi="Century Gothic" w:cs="Arial"/>
          <w:lang w:eastAsia="es-ES"/>
        </w:rPr>
        <w:t xml:space="preserve">La instalación de la aplicación de referencia, correrá a cargo de la Dirección de Tecnologías de la Información, misma que se encargará de instalar, en tiempo y forma y con la anticipación suficiente a las fechas establecidas de cumplimiento, la versión actualizada de la aplicación requerida, en los equipos indicados, de los Juzgados que integran el Sistema de Justicia Penal Acusatorio y Oral; así como el Sistema Penal Tradicional, en los cinco distritos que conforman el Poder Judicial.- - - - - - - - - - - - - - - - - - - - </w:t>
      </w:r>
    </w:p>
    <w:p w14:paraId="4D490CAF" w14:textId="77777777" w:rsidR="004D16F9" w:rsidRPr="00666D06" w:rsidRDefault="004D16F9" w:rsidP="006879D4">
      <w:pPr>
        <w:spacing w:after="0"/>
        <w:ind w:left="-142" w:right="566"/>
        <w:jc w:val="both"/>
        <w:rPr>
          <w:rFonts w:ascii="Century Gothic" w:hAnsi="Century Gothic" w:cs="Arial"/>
          <w:sz w:val="12"/>
          <w:lang w:eastAsia="es-ES"/>
        </w:rPr>
      </w:pPr>
    </w:p>
    <w:p w14:paraId="06787184" w14:textId="3B34E77D" w:rsidR="004D16F9" w:rsidRPr="00666D06" w:rsidRDefault="004D16F9" w:rsidP="006879D4">
      <w:pPr>
        <w:spacing w:after="0"/>
        <w:ind w:left="-142" w:right="566"/>
        <w:jc w:val="both"/>
        <w:rPr>
          <w:rFonts w:ascii="Century Gothic" w:hAnsi="Century Gothic" w:cs="Arial"/>
          <w:highlight w:val="yellow"/>
          <w:lang w:eastAsia="es-ES"/>
        </w:rPr>
      </w:pPr>
      <w:r w:rsidRPr="00666D06">
        <w:rPr>
          <w:rFonts w:ascii="Century Gothic" w:hAnsi="Century Gothic" w:cs="Arial"/>
          <w:b/>
          <w:lang w:eastAsia="es-ES"/>
        </w:rPr>
        <w:t>Artículo 3.</w:t>
      </w:r>
      <w:r w:rsidRPr="00666D06">
        <w:rPr>
          <w:rFonts w:ascii="Century Gothic" w:hAnsi="Century Gothic" w:cs="Arial"/>
          <w:lang w:eastAsia="es-ES"/>
        </w:rPr>
        <w:t xml:space="preserve"> El llenado de la información estadística en materia penal, deberá realizarse de manera diaria, a fin de que la misma se encuentre debidamente actualizada y al día, antes del cierre del año estadístico. - - - - - - - - - - - - - - - - - - - - - - - - - - - - - - - - - - - - - - - - - - - </w:t>
      </w:r>
    </w:p>
    <w:p w14:paraId="55A7838F" w14:textId="77777777" w:rsidR="004D16F9" w:rsidRPr="00666D06" w:rsidRDefault="004D16F9" w:rsidP="006879D4">
      <w:pPr>
        <w:spacing w:after="0"/>
        <w:ind w:left="-142" w:right="566"/>
        <w:jc w:val="both"/>
        <w:rPr>
          <w:rFonts w:ascii="Century Gothic" w:hAnsi="Century Gothic" w:cs="Arial"/>
          <w:sz w:val="16"/>
          <w:highlight w:val="yellow"/>
          <w:lang w:eastAsia="es-ES"/>
        </w:rPr>
      </w:pPr>
    </w:p>
    <w:p w14:paraId="3648FE59" w14:textId="77A18245" w:rsidR="004D16F9" w:rsidRPr="00666D06" w:rsidRDefault="004D16F9" w:rsidP="006879D4">
      <w:pPr>
        <w:spacing w:after="0"/>
        <w:ind w:left="-142" w:right="566"/>
        <w:jc w:val="both"/>
        <w:rPr>
          <w:rFonts w:ascii="Century Gothic" w:hAnsi="Century Gothic" w:cs="Arial"/>
          <w:lang w:eastAsia="es-ES"/>
        </w:rPr>
      </w:pPr>
      <w:r w:rsidRPr="00666D06">
        <w:rPr>
          <w:rFonts w:ascii="Century Gothic" w:hAnsi="Century Gothic" w:cs="Arial"/>
          <w:lang w:eastAsia="es-ES"/>
        </w:rPr>
        <w:t xml:space="preserve">Se considera como fecha de cierre del año estadístico el último día hábil del mes de diciembre de cada año.- - - - - - - - - - - - - - - - - - - - - - - - - - - - - - - - - - - - - - - - - - - - - - - - - - - - </w:t>
      </w:r>
    </w:p>
    <w:p w14:paraId="0A0F856F" w14:textId="77777777" w:rsidR="00666D06" w:rsidRDefault="00666D06" w:rsidP="006879D4">
      <w:pPr>
        <w:spacing w:after="0"/>
        <w:ind w:left="-142" w:right="566"/>
        <w:jc w:val="both"/>
        <w:rPr>
          <w:rFonts w:ascii="Century Gothic" w:hAnsi="Century Gothic" w:cs="Arial"/>
          <w:b/>
          <w:lang w:eastAsia="es-ES"/>
        </w:rPr>
      </w:pPr>
    </w:p>
    <w:p w14:paraId="29527892" w14:textId="107EAA40" w:rsidR="004D16F9" w:rsidRPr="00666D06" w:rsidRDefault="004D16F9" w:rsidP="006879D4">
      <w:pPr>
        <w:spacing w:after="0"/>
        <w:ind w:left="-142" w:right="566"/>
        <w:jc w:val="both"/>
        <w:rPr>
          <w:rFonts w:ascii="Century Gothic" w:hAnsi="Century Gothic" w:cs="Arial"/>
          <w:lang w:eastAsia="es-ES"/>
        </w:rPr>
      </w:pPr>
      <w:r w:rsidRPr="00666D06">
        <w:rPr>
          <w:rFonts w:ascii="Century Gothic" w:hAnsi="Century Gothic" w:cs="Arial"/>
          <w:b/>
          <w:lang w:eastAsia="es-ES"/>
        </w:rPr>
        <w:t xml:space="preserve">Artículo 4. </w:t>
      </w:r>
      <w:r w:rsidRPr="00666D06">
        <w:rPr>
          <w:rFonts w:ascii="Century Gothic" w:hAnsi="Century Gothic" w:cs="Arial"/>
          <w:lang w:eastAsia="es-ES"/>
        </w:rPr>
        <w:t xml:space="preserve">La Dirección de Evaluación será la encargada de recopilar y verificar la información actualizada por los Juzgados, a efectos de hacerla llegar al Instituto Nacional de Estadística y Geografía,  a través de la vía previamente indicada por la Coordinación Estatal. Así mismo, se encargará de </w:t>
      </w:r>
      <w:proofErr w:type="spellStart"/>
      <w:r w:rsidRPr="00666D06">
        <w:rPr>
          <w:rFonts w:ascii="Century Gothic" w:hAnsi="Century Gothic" w:cs="Arial"/>
          <w:lang w:eastAsia="es-ES"/>
        </w:rPr>
        <w:t>recepcionar</w:t>
      </w:r>
      <w:proofErr w:type="spellEnd"/>
      <w:r w:rsidRPr="00666D06">
        <w:rPr>
          <w:rFonts w:ascii="Century Gothic" w:hAnsi="Century Gothic" w:cs="Arial"/>
          <w:lang w:eastAsia="es-ES"/>
        </w:rPr>
        <w:t xml:space="preserve">, en su caso, las </w:t>
      </w:r>
      <w:r w:rsidRPr="00666D06">
        <w:rPr>
          <w:rFonts w:ascii="Century Gothic" w:hAnsi="Century Gothic" w:cs="Arial"/>
          <w:lang w:eastAsia="es-ES"/>
        </w:rPr>
        <w:lastRenderedPageBreak/>
        <w:t xml:space="preserve">observaciones que el Instituto realizará, a fin de solventarlas, con el objetivo de cumplir en tiempo y forma con la entrega de la misma.- - - - - - - - - </w:t>
      </w:r>
      <w:r w:rsidR="00666D06">
        <w:rPr>
          <w:rFonts w:ascii="Century Gothic" w:hAnsi="Century Gothic" w:cs="Arial"/>
          <w:lang w:eastAsia="es-ES"/>
        </w:rPr>
        <w:t xml:space="preserve">- - - - - - - - - - - - - - - - - - - - - - - - - - - - </w:t>
      </w:r>
    </w:p>
    <w:p w14:paraId="5BE84384" w14:textId="77777777" w:rsidR="004D16F9" w:rsidRPr="00666D06" w:rsidRDefault="004D16F9" w:rsidP="006879D4">
      <w:pPr>
        <w:spacing w:after="0"/>
        <w:ind w:left="-142" w:right="566"/>
        <w:jc w:val="both"/>
        <w:rPr>
          <w:rFonts w:ascii="Century Gothic" w:hAnsi="Century Gothic" w:cs="Arial"/>
          <w:sz w:val="16"/>
          <w:lang w:eastAsia="es-ES"/>
        </w:rPr>
      </w:pPr>
    </w:p>
    <w:p w14:paraId="78730DEB" w14:textId="13D0F27D" w:rsidR="004D16F9" w:rsidRPr="00666D06" w:rsidRDefault="004D16F9" w:rsidP="006879D4">
      <w:pPr>
        <w:spacing w:after="0"/>
        <w:ind w:left="-142" w:right="566"/>
        <w:jc w:val="both"/>
        <w:rPr>
          <w:rFonts w:ascii="Century Gothic" w:hAnsi="Century Gothic" w:cs="Arial"/>
          <w:lang w:eastAsia="es-ES"/>
        </w:rPr>
      </w:pPr>
      <w:r w:rsidRPr="00666D06">
        <w:rPr>
          <w:rFonts w:ascii="Century Gothic" w:hAnsi="Century Gothic" w:cs="Arial"/>
          <w:b/>
          <w:lang w:eastAsia="es-ES"/>
        </w:rPr>
        <w:t xml:space="preserve">Artículo 5. </w:t>
      </w:r>
      <w:r w:rsidRPr="00666D06">
        <w:rPr>
          <w:rFonts w:ascii="Century Gothic" w:hAnsi="Century Gothic" w:cs="Arial"/>
          <w:lang w:eastAsia="es-ES"/>
        </w:rPr>
        <w:t xml:space="preserve">El cumplimiento en el llenado de los cuestionarios que integran el CNIJE, en sus diversas ediciones anuales, será de carácter obligatorio y continuado; es decir que no será necesaria la emisión de un acuerdo posterior que regule la captura de la información solicitada por el INEGI, en coordinación con la CONATRIB, vinculada al CNIJE en sus ediciones subsiguientes. - </w:t>
      </w:r>
      <w:r w:rsidR="00666D06">
        <w:rPr>
          <w:rFonts w:ascii="Century Gothic" w:hAnsi="Century Gothic" w:cs="Arial"/>
          <w:lang w:eastAsia="es-ES"/>
        </w:rPr>
        <w:t xml:space="preserve">- - - - - - - - </w:t>
      </w:r>
      <w:r w:rsidR="00666D06" w:rsidRPr="00666D06">
        <w:rPr>
          <w:rFonts w:ascii="Century Gothic" w:hAnsi="Century Gothic" w:cs="Arial"/>
          <w:b/>
          <w:lang w:eastAsia="es-ES"/>
        </w:rPr>
        <w:t>- - - - - - - - - - - - - - - - - - - - - -</w:t>
      </w:r>
      <w:r w:rsidR="00666D06">
        <w:rPr>
          <w:rFonts w:ascii="Century Gothic" w:hAnsi="Century Gothic" w:cs="Arial"/>
          <w:b/>
          <w:lang w:eastAsia="es-ES"/>
        </w:rPr>
        <w:t xml:space="preserve"> </w:t>
      </w:r>
      <w:r w:rsidR="00666D06" w:rsidRPr="00666D06">
        <w:rPr>
          <w:rFonts w:ascii="Century Gothic" w:hAnsi="Century Gothic" w:cs="Arial"/>
          <w:b/>
          <w:lang w:eastAsia="es-ES"/>
        </w:rPr>
        <w:t xml:space="preserve">- - - - - - - - - - - </w:t>
      </w:r>
    </w:p>
    <w:p w14:paraId="70E9F0F2" w14:textId="77777777" w:rsidR="004D16F9" w:rsidRPr="00666D06" w:rsidRDefault="004D16F9" w:rsidP="006879D4">
      <w:pPr>
        <w:spacing w:after="0"/>
        <w:ind w:left="-142" w:right="566"/>
        <w:jc w:val="both"/>
        <w:rPr>
          <w:rFonts w:ascii="Century Gothic" w:hAnsi="Century Gothic" w:cs="Arial"/>
          <w:sz w:val="12"/>
          <w:lang w:eastAsia="es-ES"/>
        </w:rPr>
      </w:pPr>
    </w:p>
    <w:p w14:paraId="59CD686D" w14:textId="51F3695F" w:rsidR="004D16F9" w:rsidRPr="00666D06" w:rsidRDefault="006879D4" w:rsidP="006879D4">
      <w:pPr>
        <w:spacing w:after="0"/>
        <w:ind w:left="-142" w:right="566"/>
        <w:jc w:val="both"/>
        <w:rPr>
          <w:rFonts w:ascii="Century Gothic" w:hAnsi="Century Gothic" w:cs="Arial"/>
          <w:lang w:eastAsia="es-ES"/>
        </w:rPr>
      </w:pPr>
      <w:r w:rsidRPr="00666D06">
        <w:rPr>
          <w:rFonts w:ascii="Century Gothic" w:hAnsi="Century Gothic" w:cs="Arial"/>
          <w:b/>
          <w:lang w:eastAsia="es-ES"/>
        </w:rPr>
        <w:t>Artículo</w:t>
      </w:r>
      <w:r w:rsidR="004D16F9" w:rsidRPr="00666D06">
        <w:rPr>
          <w:rFonts w:ascii="Century Gothic" w:hAnsi="Century Gothic" w:cs="Arial"/>
          <w:b/>
          <w:lang w:eastAsia="es-ES"/>
        </w:rPr>
        <w:t xml:space="preserve"> 6. </w:t>
      </w:r>
      <w:r w:rsidR="004D16F9" w:rsidRPr="00666D06">
        <w:rPr>
          <w:rFonts w:ascii="Century Gothic" w:hAnsi="Century Gothic" w:cs="Arial"/>
          <w:lang w:eastAsia="es-ES"/>
        </w:rPr>
        <w:t xml:space="preserve">La información requerida, deberá de proporcionarse con carácter obligatorio; así mismo, los titulares de los Juzgados de la materia, deberán cuidar que la misma sea veraz y entregada en tiempo y forma. La falsedad en la información proporcionada, la falta de la misma, así como el incumplimiento en la captura en los plazos establecidos, será turnada al Consejo de la Judicatura del Poder Judicial del Estado, mismo que lo turnará a la Comisión competente a efectos de establecer la sanción idónea. - - - - - - - - - </w:t>
      </w:r>
    </w:p>
    <w:p w14:paraId="382C08D2" w14:textId="77777777" w:rsidR="004D16F9" w:rsidRPr="00666D06" w:rsidRDefault="004D16F9" w:rsidP="006879D4">
      <w:pPr>
        <w:spacing w:after="0"/>
        <w:ind w:left="-142" w:right="566"/>
        <w:jc w:val="both"/>
        <w:rPr>
          <w:rFonts w:ascii="Century Gothic" w:hAnsi="Century Gothic" w:cs="Arial"/>
          <w:b/>
          <w:sz w:val="6"/>
          <w:lang w:eastAsia="es-ES"/>
        </w:rPr>
      </w:pPr>
    </w:p>
    <w:p w14:paraId="0C5B375C" w14:textId="77777777" w:rsidR="004D16F9" w:rsidRPr="00666D06" w:rsidRDefault="004D16F9" w:rsidP="006879D4">
      <w:pPr>
        <w:spacing w:after="0"/>
        <w:ind w:left="-142" w:right="566"/>
        <w:jc w:val="center"/>
        <w:rPr>
          <w:rFonts w:ascii="Century Gothic" w:hAnsi="Century Gothic" w:cs="Arial"/>
          <w:b/>
          <w:lang w:val="es-MX" w:eastAsia="es-ES"/>
        </w:rPr>
      </w:pPr>
      <w:r w:rsidRPr="00666D06">
        <w:rPr>
          <w:rFonts w:ascii="Century Gothic" w:hAnsi="Century Gothic" w:cs="Arial"/>
          <w:b/>
          <w:lang w:val="es-MX" w:eastAsia="es-ES"/>
        </w:rPr>
        <w:t>TRANSITORIOS</w:t>
      </w:r>
    </w:p>
    <w:p w14:paraId="22677A73" w14:textId="77777777" w:rsidR="004D16F9" w:rsidRPr="00666D06" w:rsidRDefault="004D16F9" w:rsidP="006879D4">
      <w:pPr>
        <w:spacing w:after="0"/>
        <w:ind w:left="-142" w:right="566"/>
        <w:jc w:val="center"/>
        <w:rPr>
          <w:rFonts w:ascii="Century Gothic" w:hAnsi="Century Gothic" w:cs="Arial"/>
          <w:b/>
          <w:sz w:val="8"/>
          <w:lang w:val="es-MX" w:eastAsia="es-ES"/>
        </w:rPr>
      </w:pPr>
    </w:p>
    <w:p w14:paraId="76D13FD4" w14:textId="021E31B0" w:rsidR="004D16F9" w:rsidRPr="00666D06" w:rsidRDefault="004D16F9" w:rsidP="006879D4">
      <w:pPr>
        <w:autoSpaceDE w:val="0"/>
        <w:autoSpaceDN w:val="0"/>
        <w:adjustRightInd w:val="0"/>
        <w:spacing w:after="0"/>
        <w:ind w:left="-142" w:right="566"/>
        <w:jc w:val="both"/>
        <w:rPr>
          <w:rFonts w:ascii="Century Gothic" w:hAnsi="Century Gothic" w:cs="Arial"/>
          <w:bCs/>
        </w:rPr>
      </w:pPr>
      <w:r w:rsidRPr="00666D06">
        <w:rPr>
          <w:rFonts w:ascii="Century Gothic" w:hAnsi="Century Gothic" w:cs="Arial"/>
          <w:b/>
          <w:bCs/>
        </w:rPr>
        <w:t>PRIMERO.</w:t>
      </w:r>
      <w:r w:rsidRPr="00666D06">
        <w:rPr>
          <w:rFonts w:ascii="Century Gothic" w:hAnsi="Century Gothic"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w:t>
      </w:r>
    </w:p>
    <w:p w14:paraId="548A8EBE" w14:textId="77777777" w:rsidR="004D16F9" w:rsidRPr="00666D06" w:rsidRDefault="004D16F9" w:rsidP="006879D4">
      <w:pPr>
        <w:autoSpaceDE w:val="0"/>
        <w:autoSpaceDN w:val="0"/>
        <w:adjustRightInd w:val="0"/>
        <w:spacing w:after="0"/>
        <w:ind w:left="-142" w:right="566"/>
        <w:jc w:val="both"/>
        <w:rPr>
          <w:rFonts w:ascii="Century Gothic" w:hAnsi="Century Gothic" w:cs="Arial"/>
          <w:bCs/>
          <w:sz w:val="12"/>
        </w:rPr>
      </w:pPr>
    </w:p>
    <w:p w14:paraId="6292EA0F" w14:textId="5B64EE0D" w:rsidR="004D16F9" w:rsidRPr="00666D06" w:rsidRDefault="004D16F9" w:rsidP="006879D4">
      <w:pPr>
        <w:autoSpaceDE w:val="0"/>
        <w:autoSpaceDN w:val="0"/>
        <w:adjustRightInd w:val="0"/>
        <w:spacing w:after="0"/>
        <w:ind w:left="-142" w:right="566"/>
        <w:jc w:val="both"/>
        <w:rPr>
          <w:rFonts w:ascii="Century Gothic" w:hAnsi="Century Gothic" w:cs="Arial"/>
          <w:bCs/>
        </w:rPr>
      </w:pPr>
      <w:r w:rsidRPr="00666D06">
        <w:rPr>
          <w:rFonts w:ascii="Century Gothic" w:hAnsi="Century Gothic" w:cs="Arial"/>
          <w:b/>
          <w:bCs/>
        </w:rPr>
        <w:t>SEGUNDO.</w:t>
      </w:r>
      <w:r w:rsidRPr="00666D06">
        <w:rPr>
          <w:rFonts w:ascii="Century Gothic" w:hAnsi="Century Gothic" w:cs="Arial"/>
          <w:bCs/>
        </w:rPr>
        <w:t xml:space="preserve"> El presente Acuerdo General entrará en vigor al día siguiente de su publicación en el Periódico Oficial del Estado, de conformidad con el artículo 4 del Código Civil vigente en el Estado.- - - - - - - - - - - - - - - - - - - - - - - - - - - - - - - - - - - - - - - - - - - - - </w:t>
      </w:r>
    </w:p>
    <w:p w14:paraId="392A35E3" w14:textId="77777777" w:rsidR="004D16F9" w:rsidRPr="00666D06" w:rsidRDefault="004D16F9" w:rsidP="006879D4">
      <w:pPr>
        <w:tabs>
          <w:tab w:val="left" w:pos="8789"/>
        </w:tabs>
        <w:autoSpaceDE w:val="0"/>
        <w:autoSpaceDN w:val="0"/>
        <w:adjustRightInd w:val="0"/>
        <w:spacing w:after="0"/>
        <w:ind w:left="-142" w:right="566"/>
        <w:jc w:val="both"/>
        <w:rPr>
          <w:rFonts w:ascii="Century Gothic" w:hAnsi="Century Gothic" w:cs="Arial"/>
          <w:b/>
          <w:bCs/>
          <w:sz w:val="12"/>
        </w:rPr>
      </w:pPr>
    </w:p>
    <w:p w14:paraId="236229A5" w14:textId="4A0D3CA5" w:rsidR="004D16F9" w:rsidRPr="00666D06" w:rsidRDefault="004D16F9" w:rsidP="006879D4">
      <w:pPr>
        <w:tabs>
          <w:tab w:val="left" w:pos="8789"/>
        </w:tabs>
        <w:autoSpaceDE w:val="0"/>
        <w:autoSpaceDN w:val="0"/>
        <w:adjustRightInd w:val="0"/>
        <w:spacing w:after="0"/>
        <w:ind w:left="-142" w:right="566"/>
        <w:jc w:val="both"/>
        <w:rPr>
          <w:rFonts w:ascii="Century Gothic" w:hAnsi="Century Gothic" w:cs="Arial"/>
          <w:bCs/>
        </w:rPr>
      </w:pPr>
      <w:r w:rsidRPr="00666D06">
        <w:rPr>
          <w:rFonts w:ascii="Century Gothic" w:hAnsi="Century Gothic" w:cs="Arial"/>
          <w:b/>
          <w:bCs/>
        </w:rPr>
        <w:t>TERCERO.</w:t>
      </w:r>
      <w:r w:rsidRPr="00666D06">
        <w:rPr>
          <w:rFonts w:ascii="Century Gothic" w:hAnsi="Century Gothic" w:cs="Arial"/>
          <w:bCs/>
        </w:rPr>
        <w:t xml:space="preserve"> Comuníquese el presente Acuerdo General al Honorable Tribunal Superior de Justicia del Estado. - - - - - - - - - - - - - - - - - - - - - - - - - - - - - - - - - - - - - - - - - - - - - - - - </w:t>
      </w:r>
      <w:r w:rsidRPr="00666D06">
        <w:rPr>
          <w:rFonts w:ascii="Century Gothic" w:hAnsi="Century Gothic" w:cs="Arial"/>
          <w:lang w:eastAsia="es-ES"/>
        </w:rPr>
        <w:t xml:space="preserve">- - - - - - - - </w:t>
      </w:r>
    </w:p>
    <w:p w14:paraId="07E4732A" w14:textId="77777777" w:rsidR="004D16F9" w:rsidRPr="00666D06" w:rsidRDefault="004D16F9" w:rsidP="006879D4">
      <w:pPr>
        <w:spacing w:after="0"/>
        <w:ind w:left="-142" w:right="566"/>
        <w:jc w:val="both"/>
        <w:rPr>
          <w:rFonts w:ascii="Century Gothic" w:hAnsi="Century Gothic" w:cs="Arial"/>
          <w:b/>
          <w:bCs/>
          <w:sz w:val="12"/>
          <w:lang w:eastAsia="es-ES"/>
        </w:rPr>
      </w:pPr>
    </w:p>
    <w:p w14:paraId="19CDDDF9" w14:textId="78DC6133" w:rsidR="0005317C" w:rsidRPr="00666D06" w:rsidRDefault="004D16F9" w:rsidP="006879D4">
      <w:pPr>
        <w:spacing w:after="0"/>
        <w:ind w:left="-142" w:right="566"/>
        <w:jc w:val="both"/>
        <w:rPr>
          <w:rFonts w:ascii="Century Gothic" w:hAnsi="Century Gothic" w:cs="Arial"/>
          <w:bCs/>
          <w:sz w:val="24"/>
          <w:szCs w:val="24"/>
        </w:rPr>
      </w:pPr>
      <w:r w:rsidRPr="00666D06">
        <w:rPr>
          <w:rFonts w:ascii="Century Gothic" w:hAnsi="Century Gothic" w:cs="Arial"/>
          <w:b/>
          <w:lang w:eastAsia="es-ES"/>
        </w:rPr>
        <w:t xml:space="preserve">CUARTO. </w:t>
      </w:r>
      <w:r w:rsidRPr="00666D06">
        <w:rPr>
          <w:rFonts w:ascii="Century Gothic" w:hAnsi="Century Gothic" w:cs="Arial"/>
          <w:bCs/>
        </w:rPr>
        <w:t>Se abroga toda norma jurídica o administrativa de igual o menor jerarquía o, que se oponga al presente Acuerdo General</w:t>
      </w:r>
      <w:r w:rsidR="00550A72" w:rsidRPr="00666D06">
        <w:rPr>
          <w:rFonts w:ascii="Century Gothic" w:hAnsi="Century Gothic" w:cs="Arial"/>
          <w:sz w:val="24"/>
          <w:szCs w:val="24"/>
          <w:u w:color="63392E"/>
        </w:rPr>
        <w:t>…</w:t>
      </w:r>
      <w:r w:rsidR="00163F10" w:rsidRPr="00666D06">
        <w:rPr>
          <w:rFonts w:ascii="Century Gothic" w:hAnsi="Century Gothic" w:cs="Arial"/>
          <w:sz w:val="24"/>
          <w:szCs w:val="24"/>
          <w:u w:color="63392E"/>
        </w:rPr>
        <w:t>”.</w:t>
      </w:r>
      <w:r w:rsidR="0005317C" w:rsidRPr="00666D06">
        <w:rPr>
          <w:rFonts w:ascii="Century Gothic" w:hAnsi="Century Gothic" w:cs="Arial"/>
          <w:sz w:val="24"/>
          <w:szCs w:val="24"/>
          <w:u w:color="63392E"/>
        </w:rPr>
        <w:t xml:space="preserve"> ------</w:t>
      </w:r>
      <w:r w:rsidR="00163F10" w:rsidRPr="00666D06">
        <w:rPr>
          <w:rFonts w:ascii="Century Gothic" w:hAnsi="Century Gothic" w:cs="Arial"/>
          <w:sz w:val="24"/>
          <w:szCs w:val="24"/>
          <w:u w:color="63392E"/>
        </w:rPr>
        <w:t>------------------------------------------</w:t>
      </w:r>
      <w:r w:rsidRPr="00666D06">
        <w:rPr>
          <w:rFonts w:ascii="Century Gothic" w:hAnsi="Century Gothic" w:cs="Arial"/>
          <w:sz w:val="24"/>
          <w:szCs w:val="24"/>
          <w:u w:color="63392E"/>
        </w:rPr>
        <w:t>------</w:t>
      </w:r>
    </w:p>
    <w:p w14:paraId="09C964B0" w14:textId="77777777" w:rsidR="00550A72" w:rsidRPr="00666D06" w:rsidRDefault="00550A72" w:rsidP="00016AF9">
      <w:pPr>
        <w:tabs>
          <w:tab w:val="left" w:pos="851"/>
          <w:tab w:val="left" w:pos="1418"/>
          <w:tab w:val="left" w:leader="dot" w:pos="7655"/>
        </w:tabs>
        <w:spacing w:after="0"/>
        <w:ind w:left="-284" w:right="425"/>
        <w:jc w:val="both"/>
        <w:rPr>
          <w:rFonts w:ascii="Century Gothic" w:hAnsi="Century Gothic" w:cs="Arial"/>
          <w:bCs/>
          <w:sz w:val="14"/>
          <w:szCs w:val="24"/>
          <w:lang w:val="es-MX"/>
        </w:rPr>
      </w:pPr>
    </w:p>
    <w:p w14:paraId="0E287581" w14:textId="16328885" w:rsidR="00550A72" w:rsidRPr="00666D06" w:rsidRDefault="00550A72" w:rsidP="006879D4">
      <w:pPr>
        <w:tabs>
          <w:tab w:val="left" w:pos="851"/>
          <w:tab w:val="left" w:pos="1418"/>
          <w:tab w:val="left" w:leader="dot" w:pos="7655"/>
        </w:tabs>
        <w:spacing w:after="0"/>
        <w:ind w:left="-284" w:right="425"/>
        <w:jc w:val="both"/>
        <w:rPr>
          <w:rFonts w:ascii="Century Gothic" w:hAnsi="Century Gothic" w:cs="Arial"/>
          <w:bCs/>
          <w:sz w:val="24"/>
          <w:szCs w:val="24"/>
          <w:lang w:val="es-MX"/>
        </w:rPr>
      </w:pPr>
      <w:r w:rsidRPr="00666D06">
        <w:rPr>
          <w:rFonts w:ascii="Century Gothic" w:hAnsi="Century Gothic" w:cs="Arial"/>
          <w:bCs/>
          <w:sz w:val="24"/>
          <w:szCs w:val="24"/>
          <w:lang w:val="es-MX"/>
        </w:rPr>
        <w:t xml:space="preserve">Cabe señalar que el </w:t>
      </w:r>
      <w:r w:rsidRPr="00666D06">
        <w:rPr>
          <w:rStyle w:val="Ninguno"/>
          <w:rFonts w:ascii="Century Gothic" w:hAnsi="Century Gothic"/>
          <w:b/>
          <w:bCs/>
          <w:sz w:val="24"/>
          <w:szCs w:val="24"/>
        </w:rPr>
        <w:t>ACUERDO GENERAL NÚMERO 0</w:t>
      </w:r>
      <w:r w:rsidR="00016AF9" w:rsidRPr="00666D06">
        <w:rPr>
          <w:rStyle w:val="Ninguno"/>
          <w:rFonts w:ascii="Century Gothic" w:hAnsi="Century Gothic"/>
          <w:b/>
          <w:bCs/>
          <w:sz w:val="24"/>
          <w:szCs w:val="24"/>
        </w:rPr>
        <w:t>3</w:t>
      </w:r>
      <w:r w:rsidRPr="00666D06">
        <w:rPr>
          <w:rStyle w:val="Ninguno"/>
          <w:rFonts w:ascii="Century Gothic" w:hAnsi="Century Gothic"/>
          <w:b/>
          <w:bCs/>
          <w:sz w:val="24"/>
          <w:szCs w:val="24"/>
        </w:rPr>
        <w:t>/CJCAM/18-2019</w:t>
      </w:r>
      <w:r w:rsidRPr="00666D06">
        <w:rPr>
          <w:rFonts w:ascii="Century Gothic" w:hAnsi="Century Gothic" w:cs="Arial"/>
          <w:bCs/>
          <w:sz w:val="24"/>
          <w:szCs w:val="24"/>
          <w:lang w:val="es-MX"/>
        </w:rPr>
        <w:t xml:space="preserve">, fue remitido en </w:t>
      </w:r>
      <w:r w:rsidRPr="00666D06">
        <w:rPr>
          <w:rFonts w:ascii="Century Gothic" w:hAnsi="Century Gothic" w:cs="Arial"/>
          <w:b/>
          <w:bCs/>
          <w:sz w:val="24"/>
          <w:szCs w:val="24"/>
          <w:lang w:val="es-MX"/>
        </w:rPr>
        <w:t>versión electrónica a su correo  institucional</w:t>
      </w:r>
      <w:r w:rsidRPr="00666D06">
        <w:rPr>
          <w:rFonts w:ascii="Century Gothic" w:hAnsi="Century Gothic" w:cs="Arial"/>
          <w:bCs/>
          <w:sz w:val="24"/>
          <w:szCs w:val="24"/>
          <w:lang w:val="es-MX"/>
        </w:rPr>
        <w:t>, para los efectos correspondientes, agradeciéndole acusar de recibido el mismo.---------------------</w:t>
      </w:r>
      <w:r w:rsidR="00016AF9" w:rsidRPr="00666D06">
        <w:rPr>
          <w:rFonts w:ascii="Century Gothic" w:hAnsi="Century Gothic" w:cs="Arial"/>
          <w:bCs/>
          <w:sz w:val="24"/>
          <w:szCs w:val="24"/>
          <w:lang w:val="es-MX"/>
        </w:rPr>
        <w:t>----------------------------------</w:t>
      </w:r>
    </w:p>
    <w:p w14:paraId="413086DE" w14:textId="77777777" w:rsidR="00205512" w:rsidRPr="00666D06" w:rsidRDefault="00205512" w:rsidP="006879D4">
      <w:pPr>
        <w:spacing w:after="0" w:line="240" w:lineRule="auto"/>
        <w:ind w:left="-284" w:right="425"/>
        <w:jc w:val="both"/>
        <w:rPr>
          <w:rFonts w:ascii="Century Gothic" w:eastAsia="Calibri" w:hAnsi="Century Gothic" w:cs="Arial"/>
          <w:b/>
          <w:bCs/>
          <w:sz w:val="10"/>
          <w:szCs w:val="24"/>
          <w:lang w:val="es-MX"/>
        </w:rPr>
      </w:pPr>
    </w:p>
    <w:p w14:paraId="7DB2C48B" w14:textId="2BAC0320" w:rsidR="00205512" w:rsidRPr="00666D06" w:rsidRDefault="00205512" w:rsidP="006879D4">
      <w:pPr>
        <w:tabs>
          <w:tab w:val="left" w:pos="851"/>
          <w:tab w:val="left" w:pos="1418"/>
          <w:tab w:val="left" w:leader="dot" w:pos="7655"/>
        </w:tabs>
        <w:spacing w:after="0" w:line="240" w:lineRule="auto"/>
        <w:ind w:left="-284" w:right="425"/>
        <w:jc w:val="both"/>
        <w:rPr>
          <w:rFonts w:ascii="Century Gothic" w:hAnsi="Century Gothic" w:cs="Arial"/>
          <w:bCs/>
          <w:sz w:val="24"/>
          <w:szCs w:val="24"/>
          <w:lang w:val="es-MX"/>
        </w:rPr>
      </w:pPr>
      <w:r w:rsidRPr="00666D06">
        <w:rPr>
          <w:rFonts w:ascii="Century Gothic" w:hAnsi="Century Gothic" w:cs="Arial"/>
          <w:bCs/>
          <w:sz w:val="24"/>
          <w:szCs w:val="24"/>
          <w:lang w:val="es-MX"/>
        </w:rPr>
        <w:t>Reitero a usted las seguridades de mi distinguida consideración.--------</w:t>
      </w:r>
      <w:r w:rsidR="00967BBF" w:rsidRPr="00666D06">
        <w:rPr>
          <w:rFonts w:ascii="Century Gothic" w:hAnsi="Century Gothic" w:cs="Arial"/>
          <w:bCs/>
          <w:sz w:val="24"/>
          <w:szCs w:val="24"/>
          <w:lang w:val="es-MX"/>
        </w:rPr>
        <w:t>-----------------</w:t>
      </w:r>
      <w:r w:rsidR="00016AF9" w:rsidRPr="00666D06">
        <w:rPr>
          <w:rFonts w:ascii="Century Gothic" w:hAnsi="Century Gothic" w:cs="Arial"/>
          <w:bCs/>
          <w:sz w:val="24"/>
          <w:szCs w:val="24"/>
          <w:lang w:val="es-MX"/>
        </w:rPr>
        <w:t>-----</w:t>
      </w:r>
    </w:p>
    <w:p w14:paraId="2B082474" w14:textId="77777777" w:rsidR="006879D4" w:rsidRPr="00666D06" w:rsidRDefault="006879D4" w:rsidP="006879D4">
      <w:pPr>
        <w:tabs>
          <w:tab w:val="left" w:pos="851"/>
          <w:tab w:val="left" w:pos="1418"/>
          <w:tab w:val="left" w:leader="dot" w:pos="7655"/>
        </w:tabs>
        <w:spacing w:after="0" w:line="240" w:lineRule="auto"/>
        <w:ind w:left="-284" w:right="425"/>
        <w:jc w:val="center"/>
        <w:rPr>
          <w:rFonts w:ascii="Century Gothic" w:hAnsi="Century Gothic" w:cs="Arial"/>
          <w:b/>
          <w:bCs/>
          <w:sz w:val="24"/>
          <w:szCs w:val="24"/>
          <w:lang w:val="es-MX"/>
        </w:rPr>
      </w:pPr>
    </w:p>
    <w:p w14:paraId="771A5EA2" w14:textId="77777777" w:rsidR="00205512" w:rsidRPr="00666D06" w:rsidRDefault="00205512" w:rsidP="00016AF9">
      <w:pPr>
        <w:tabs>
          <w:tab w:val="left" w:pos="851"/>
          <w:tab w:val="left" w:pos="1418"/>
          <w:tab w:val="left" w:leader="dot" w:pos="7655"/>
        </w:tabs>
        <w:spacing w:after="0"/>
        <w:ind w:left="-284" w:right="425"/>
        <w:jc w:val="center"/>
        <w:rPr>
          <w:rFonts w:ascii="Century Gothic" w:hAnsi="Century Gothic" w:cs="Arial"/>
          <w:b/>
          <w:bCs/>
          <w:sz w:val="24"/>
          <w:szCs w:val="24"/>
          <w:lang w:val="es-MX"/>
        </w:rPr>
      </w:pPr>
      <w:r w:rsidRPr="00666D06">
        <w:rPr>
          <w:rFonts w:ascii="Century Gothic" w:hAnsi="Century Gothic" w:cs="Arial"/>
          <w:b/>
          <w:bCs/>
          <w:sz w:val="24"/>
          <w:szCs w:val="24"/>
          <w:lang w:val="es-MX"/>
        </w:rPr>
        <w:t>A T E N T A M E N T E</w:t>
      </w:r>
    </w:p>
    <w:p w14:paraId="49AD5CA5" w14:textId="77777777" w:rsidR="00205512" w:rsidRPr="00016AF9" w:rsidRDefault="00205512" w:rsidP="00016AF9">
      <w:pPr>
        <w:tabs>
          <w:tab w:val="left" w:pos="851"/>
          <w:tab w:val="left" w:pos="1418"/>
          <w:tab w:val="left" w:leader="dot" w:pos="7655"/>
          <w:tab w:val="left" w:pos="9639"/>
        </w:tabs>
        <w:spacing w:after="0"/>
        <w:ind w:left="-284" w:right="425"/>
        <w:jc w:val="center"/>
        <w:rPr>
          <w:rFonts w:ascii="Century Gothic" w:hAnsi="Century Gothic" w:cs="Arial"/>
          <w:bCs/>
          <w:sz w:val="24"/>
          <w:szCs w:val="24"/>
          <w:lang w:val="es-MX"/>
        </w:rPr>
      </w:pPr>
    </w:p>
    <w:p w14:paraId="1AC80015" w14:textId="77777777" w:rsidR="00205512" w:rsidRPr="00BD3811" w:rsidRDefault="00205512" w:rsidP="00BD3811">
      <w:pPr>
        <w:tabs>
          <w:tab w:val="left" w:pos="851"/>
          <w:tab w:val="left" w:pos="1418"/>
          <w:tab w:val="left" w:leader="dot" w:pos="7655"/>
          <w:tab w:val="left" w:pos="9639"/>
        </w:tabs>
        <w:spacing w:after="0"/>
        <w:ind w:right="566"/>
        <w:jc w:val="center"/>
        <w:rPr>
          <w:rFonts w:ascii="Century Gothic" w:hAnsi="Century Gothic" w:cs="Arial"/>
          <w:bCs/>
          <w:sz w:val="24"/>
          <w:szCs w:val="24"/>
          <w:lang w:val="es-MX"/>
        </w:rPr>
      </w:pPr>
      <w:r w:rsidRPr="00BD3811">
        <w:rPr>
          <w:rFonts w:ascii="Century Gothic" w:hAnsi="Century Gothic" w:cs="Arial"/>
          <w:bCs/>
          <w:sz w:val="24"/>
          <w:szCs w:val="24"/>
          <w:lang w:val="es-MX"/>
        </w:rPr>
        <w:t xml:space="preserve">San Francisco de Campeche, Campeche, a </w:t>
      </w:r>
      <w:r w:rsidR="00550A72">
        <w:rPr>
          <w:rFonts w:ascii="Century Gothic" w:hAnsi="Century Gothic" w:cs="Arial"/>
          <w:bCs/>
          <w:sz w:val="24"/>
          <w:szCs w:val="24"/>
          <w:lang w:val="es-MX"/>
        </w:rPr>
        <w:t>2</w:t>
      </w:r>
      <w:r w:rsidR="00E743C2" w:rsidRPr="00BD3811">
        <w:rPr>
          <w:rFonts w:ascii="Century Gothic" w:hAnsi="Century Gothic" w:cs="Arial"/>
          <w:bCs/>
          <w:sz w:val="24"/>
          <w:szCs w:val="24"/>
          <w:lang w:val="es-MX"/>
        </w:rPr>
        <w:t>1</w:t>
      </w:r>
      <w:r w:rsidRPr="00BD3811">
        <w:rPr>
          <w:rFonts w:ascii="Century Gothic" w:hAnsi="Century Gothic" w:cs="Arial"/>
          <w:bCs/>
          <w:sz w:val="24"/>
          <w:szCs w:val="24"/>
          <w:lang w:val="es-MX"/>
        </w:rPr>
        <w:t xml:space="preserve"> de </w:t>
      </w:r>
      <w:r w:rsidR="00705D91" w:rsidRPr="00BD3811">
        <w:rPr>
          <w:rFonts w:ascii="Century Gothic" w:hAnsi="Century Gothic" w:cs="Arial"/>
          <w:bCs/>
          <w:sz w:val="24"/>
          <w:szCs w:val="24"/>
          <w:lang w:val="es-MX"/>
        </w:rPr>
        <w:t>noviembre</w:t>
      </w:r>
      <w:r w:rsidRPr="00BD3811">
        <w:rPr>
          <w:rFonts w:ascii="Century Gothic" w:hAnsi="Century Gothic" w:cs="Arial"/>
          <w:bCs/>
          <w:sz w:val="24"/>
          <w:szCs w:val="24"/>
          <w:lang w:val="es-MX"/>
        </w:rPr>
        <w:t xml:space="preserve"> de 2018</w:t>
      </w:r>
    </w:p>
    <w:p w14:paraId="05B7ECD1"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 xml:space="preserve">LA SECRETARIA EJECUTIVA DEL CONSEJO DE LA JUDICATURA </w:t>
      </w:r>
    </w:p>
    <w:p w14:paraId="7C04B077"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DEL PODER JUDICIAL DEL ESTADO.</w:t>
      </w:r>
    </w:p>
    <w:p w14:paraId="5AF2BB51"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p>
    <w:p w14:paraId="2D08F675"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p>
    <w:p w14:paraId="4BE3ACC9"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DOCTORA CONCEPCIÓN DEL CARMEN CANTO SANTOS</w:t>
      </w:r>
    </w:p>
    <w:p w14:paraId="328122AA" w14:textId="77777777" w:rsidR="002C7ED5" w:rsidRPr="00BD3811" w:rsidRDefault="002C7ED5" w:rsidP="00BD3811">
      <w:pPr>
        <w:tabs>
          <w:tab w:val="left" w:pos="1290"/>
        </w:tabs>
        <w:spacing w:after="0"/>
        <w:ind w:right="566"/>
        <w:rPr>
          <w:rFonts w:ascii="Century Gothic" w:hAnsi="Century Gothic" w:cs="Arial"/>
          <w:b/>
          <w:bCs/>
          <w:lang w:val="es-MX"/>
        </w:rPr>
      </w:pPr>
      <w:bookmarkStart w:id="0" w:name="_GoBack"/>
      <w:bookmarkEnd w:id="0"/>
    </w:p>
    <w:p w14:paraId="1F1BAB6D" w14:textId="77777777" w:rsidR="002C7ED5" w:rsidRPr="00BD3811" w:rsidRDefault="002C7ED5" w:rsidP="00BD3811">
      <w:pPr>
        <w:tabs>
          <w:tab w:val="left" w:pos="1290"/>
        </w:tabs>
        <w:spacing w:after="0"/>
        <w:ind w:right="566"/>
        <w:rPr>
          <w:rFonts w:ascii="Century Gothic" w:hAnsi="Century Gothic" w:cs="Arial"/>
          <w:b/>
          <w:bCs/>
          <w:lang w:val="es-MX"/>
        </w:rPr>
      </w:pPr>
    </w:p>
    <w:p w14:paraId="038C3C02" w14:textId="77777777" w:rsidR="00205512" w:rsidRPr="009D609A" w:rsidRDefault="00205512" w:rsidP="00BD3811">
      <w:pPr>
        <w:tabs>
          <w:tab w:val="left" w:pos="1290"/>
        </w:tabs>
        <w:spacing w:after="0"/>
        <w:ind w:right="566"/>
        <w:rPr>
          <w:rFonts w:ascii="Century Gothic" w:hAnsi="Century Gothic" w:cs="Arial"/>
          <w:sz w:val="10"/>
          <w:szCs w:val="12"/>
          <w:lang w:val="es-MX"/>
        </w:rPr>
      </w:pPr>
    </w:p>
    <w:p w14:paraId="35E6D02D" w14:textId="77777777" w:rsidR="00205512" w:rsidRPr="009D609A" w:rsidRDefault="00205512" w:rsidP="006C76ED">
      <w:pPr>
        <w:tabs>
          <w:tab w:val="left" w:pos="1290"/>
        </w:tabs>
        <w:spacing w:after="0"/>
        <w:ind w:right="566"/>
        <w:jc w:val="both"/>
        <w:rPr>
          <w:rFonts w:ascii="Century Gothic" w:hAnsi="Century Gothic" w:cs="Arial"/>
          <w:sz w:val="16"/>
          <w:szCs w:val="20"/>
          <w:lang w:val="es-MX"/>
        </w:rPr>
      </w:pPr>
      <w:r w:rsidRPr="009D609A">
        <w:rPr>
          <w:rFonts w:ascii="Century Gothic" w:hAnsi="Century Gothic" w:cs="Arial"/>
          <w:sz w:val="16"/>
          <w:szCs w:val="20"/>
          <w:lang w:val="es-MX"/>
        </w:rPr>
        <w:t xml:space="preserve">C.c.p. Licenciado Miguel Ángel Chuc López, Magistrado Presidente del Honorable Tribunal Superior de Justicia del Estado  y del  Consejo de la Judicatura Local. Para su conocimiento. </w:t>
      </w:r>
    </w:p>
    <w:p w14:paraId="72CD11B5" w14:textId="77777777" w:rsidR="00205512" w:rsidRPr="009D609A" w:rsidRDefault="00205512" w:rsidP="006C76ED">
      <w:pPr>
        <w:tabs>
          <w:tab w:val="left" w:pos="1290"/>
        </w:tabs>
        <w:spacing w:after="0"/>
        <w:ind w:right="566"/>
        <w:jc w:val="both"/>
        <w:rPr>
          <w:rFonts w:ascii="Century Gothic" w:hAnsi="Century Gothic" w:cs="Arial"/>
          <w:sz w:val="16"/>
          <w:szCs w:val="20"/>
          <w:lang w:val="es-MX"/>
        </w:rPr>
      </w:pPr>
      <w:r w:rsidRPr="009D609A">
        <w:rPr>
          <w:rFonts w:ascii="Century Gothic" w:hAnsi="Century Gothic" w:cs="Arial"/>
          <w:sz w:val="16"/>
          <w:szCs w:val="20"/>
          <w:lang w:val="es-MX"/>
        </w:rPr>
        <w:t>C.c.p. Maestra Jaqueline del Carmen Estrella Puc, Secretaria General de Acuerdos del Honorable Tribunal Superior de Justicia del Estado. Para igual fin.</w:t>
      </w:r>
    </w:p>
    <w:p w14:paraId="402D31E8" w14:textId="77777777" w:rsidR="004D5DEF" w:rsidRPr="009D609A" w:rsidRDefault="00205512" w:rsidP="006C76ED">
      <w:pPr>
        <w:tabs>
          <w:tab w:val="left" w:pos="1290"/>
        </w:tabs>
        <w:spacing w:after="0" w:line="240" w:lineRule="auto"/>
        <w:ind w:right="566"/>
        <w:jc w:val="both"/>
        <w:rPr>
          <w:rFonts w:ascii="Century Gothic" w:hAnsi="Century Gothic" w:cs="Arial"/>
          <w:sz w:val="10"/>
          <w:szCs w:val="12"/>
          <w:lang w:val="es-MX"/>
        </w:rPr>
      </w:pPr>
      <w:r w:rsidRPr="009D609A">
        <w:rPr>
          <w:rFonts w:ascii="Century Gothic" w:hAnsi="Century Gothic" w:cs="Arial"/>
          <w:sz w:val="16"/>
          <w:szCs w:val="20"/>
          <w:lang w:val="es-MX"/>
        </w:rPr>
        <w:t>C.c.p. Minutario.</w:t>
      </w:r>
    </w:p>
    <w:sectPr w:rsidR="004D5DEF" w:rsidRPr="009D609A" w:rsidSect="00967BBF">
      <w:headerReference w:type="default" r:id="rId9"/>
      <w:footerReference w:type="default" r:id="rId10"/>
      <w:pgSz w:w="12240" w:h="20160" w:code="5"/>
      <w:pgMar w:top="229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37557" w14:textId="77777777" w:rsidR="005D624A" w:rsidRDefault="005D624A">
      <w:r>
        <w:separator/>
      </w:r>
    </w:p>
  </w:endnote>
  <w:endnote w:type="continuationSeparator" w:id="0">
    <w:p w14:paraId="6CF89F71" w14:textId="77777777" w:rsidR="005D624A" w:rsidRDefault="005D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1E572" w14:textId="77777777"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14:paraId="634BFE75"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756DC99C"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14:paraId="0FDC5039"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14:paraId="11FE5993" w14:textId="77777777"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07384" w14:textId="77777777" w:rsidR="005D624A" w:rsidRDefault="005D624A">
      <w:r>
        <w:separator/>
      </w:r>
    </w:p>
  </w:footnote>
  <w:footnote w:type="continuationSeparator" w:id="0">
    <w:p w14:paraId="1B0DDEF8" w14:textId="77777777" w:rsidR="005D624A" w:rsidRDefault="005D6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E44C" w14:textId="77777777" w:rsidR="000B5730" w:rsidRDefault="008F7B90" w:rsidP="00037D0F">
    <w:pPr>
      <w:pStyle w:val="Encabezado"/>
      <w:ind w:left="284" w:right="1204"/>
      <w:jc w:val="center"/>
    </w:pPr>
    <w:r>
      <w:rPr>
        <w:noProof/>
        <w:lang w:val="es-MX" w:eastAsia="es-MX"/>
      </w:rPr>
      <w:drawing>
        <wp:inline distT="0" distB="0" distL="0" distR="0" wp14:anchorId="77461956" wp14:editId="5746EC28">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14:anchorId="56DE945F" wp14:editId="33EED22F">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190E20B3"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0241"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6AF9"/>
    <w:rsid w:val="000175E2"/>
    <w:rsid w:val="000177E4"/>
    <w:rsid w:val="00021031"/>
    <w:rsid w:val="00021D1E"/>
    <w:rsid w:val="00025A15"/>
    <w:rsid w:val="000263E0"/>
    <w:rsid w:val="0002748A"/>
    <w:rsid w:val="00030121"/>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317C"/>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11C2"/>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3F10"/>
    <w:rsid w:val="001647D4"/>
    <w:rsid w:val="00164F02"/>
    <w:rsid w:val="001663E4"/>
    <w:rsid w:val="001710D7"/>
    <w:rsid w:val="00174CFB"/>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7F2"/>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18B"/>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16F9"/>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0A72"/>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24A"/>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6D06"/>
    <w:rsid w:val="00673E41"/>
    <w:rsid w:val="0067508B"/>
    <w:rsid w:val="006755F3"/>
    <w:rsid w:val="00676AC9"/>
    <w:rsid w:val="006777F7"/>
    <w:rsid w:val="00677F9F"/>
    <w:rsid w:val="00682580"/>
    <w:rsid w:val="00686463"/>
    <w:rsid w:val="006879D4"/>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C76ED"/>
    <w:rsid w:val="006D0230"/>
    <w:rsid w:val="006D196B"/>
    <w:rsid w:val="006D3211"/>
    <w:rsid w:val="006D3F90"/>
    <w:rsid w:val="006D51C5"/>
    <w:rsid w:val="006D6AF6"/>
    <w:rsid w:val="006E1B17"/>
    <w:rsid w:val="006E20CB"/>
    <w:rsid w:val="006E4538"/>
    <w:rsid w:val="006E4F3E"/>
    <w:rsid w:val="006E5A1D"/>
    <w:rsid w:val="006E5C25"/>
    <w:rsid w:val="006E6692"/>
    <w:rsid w:val="006F0478"/>
    <w:rsid w:val="006F0C67"/>
    <w:rsid w:val="006F132E"/>
    <w:rsid w:val="006F25BE"/>
    <w:rsid w:val="006F3200"/>
    <w:rsid w:val="006F5ADB"/>
    <w:rsid w:val="00704EA4"/>
    <w:rsid w:val="00705D91"/>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107B"/>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5BEF"/>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0E0F"/>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A7891"/>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67BBF"/>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D609A"/>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0C1"/>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0050"/>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5F04"/>
    <w:rsid w:val="00B0642A"/>
    <w:rsid w:val="00B06BFD"/>
    <w:rsid w:val="00B111ED"/>
    <w:rsid w:val="00B11F09"/>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3811"/>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365C"/>
    <w:rsid w:val="00E64CD3"/>
    <w:rsid w:val="00E65FCE"/>
    <w:rsid w:val="00E704B8"/>
    <w:rsid w:val="00E706EE"/>
    <w:rsid w:val="00E70ACD"/>
    <w:rsid w:val="00E70E0A"/>
    <w:rsid w:val="00E7147E"/>
    <w:rsid w:val="00E715A4"/>
    <w:rsid w:val="00E739AC"/>
    <w:rsid w:val="00E743C2"/>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roke="f">
      <v:stroke on="f"/>
    </o:shapedefaults>
    <o:shapelayout v:ext="edit">
      <o:idmap v:ext="edit" data="1"/>
    </o:shapelayout>
  </w:shapeDefaults>
  <w:decimalSymbol w:val="."/>
  <w:listSeparator w:val=","/>
  <w14:docId w14:val="2ABD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67BBF"/>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Ninguno">
    <w:name w:val="Ninguno"/>
    <w:rsid w:val="00967BBF"/>
  </w:style>
  <w:style w:type="paragraph" w:customStyle="1" w:styleId="Estilo">
    <w:name w:val="Estilo"/>
    <w:basedOn w:val="Sinespaciado"/>
    <w:link w:val="EstiloCar"/>
    <w:qFormat/>
    <w:rsid w:val="00016AF9"/>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016AF9"/>
    <w:rPr>
      <w:rFonts w:ascii="Arial" w:eastAsiaTheme="minorHAnsi" w:hAnsi="Arial"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67BBF"/>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Ninguno">
    <w:name w:val="Ninguno"/>
    <w:rsid w:val="00967BBF"/>
  </w:style>
  <w:style w:type="paragraph" w:customStyle="1" w:styleId="Estilo">
    <w:name w:val="Estilo"/>
    <w:basedOn w:val="Sinespaciado"/>
    <w:link w:val="EstiloCar"/>
    <w:qFormat/>
    <w:rsid w:val="00016AF9"/>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016AF9"/>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51513-3BD5-401A-8DCF-F3CAFDBC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1300</Words>
  <Characters>5652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Saida del Rosario Canche Tun</cp:lastModifiedBy>
  <cp:revision>17</cp:revision>
  <cp:lastPrinted>2018-11-23T19:05:00Z</cp:lastPrinted>
  <dcterms:created xsi:type="dcterms:W3CDTF">2018-11-06T16:36:00Z</dcterms:created>
  <dcterms:modified xsi:type="dcterms:W3CDTF">2018-11-23T19:06:00Z</dcterms:modified>
</cp:coreProperties>
</file>